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left"/>
        <w:tblLook w:firstColumn="1" w:firstRow="1" w:lastColumn="0" w:lastRow="0" w:noHBand="0" w:noVBand="1" w:val="04A0"/>
      </w:tblPr>
      <w:tblGrid>
        <w:gridCol w:w="9071"/>
      </w:tblGrid>
      <w:tr>
        <w:tc>
          <w:tcPr>
            <w:tcW w:type="dxa" w:w="9071"/>
            <w:shd w:val="clear" w:color="auto" w:fill="1F3864"/>
          </w:tcPr>
          <w:p>
            <w:pPr>
              <w:spacing w:before="200" w:after="40"/>
              <w:ind w:left="227"/>
            </w:pPr>
            <w:r>
              <w:rPr>
                <w:rFonts w:ascii="Arial" w:hAnsi="Arial"/>
                <w:b/>
                <w:color w:val="FFFFFF"/>
                <w:sz w:val="28"/>
              </w:rPr>
              <w:t>CADILLAC HERTZ TEAM JOTA</w:t>
            </w:r>
          </w:p>
          <w:p>
            <w:pPr>
              <w:spacing w:before="0" w:after="200"/>
              <w:ind w:left="227"/>
            </w:pPr>
            <w:r>
              <w:rPr>
                <w:rFonts w:ascii="Arial" w:hAnsi="Arial"/>
                <w:i/>
                <w:color w:val="BDD7EE"/>
                <w:sz w:val="20"/>
              </w:rPr>
              <w:t>Environmental Management System — Staff Awareness Communication</w:t>
            </w:r>
          </w:p>
        </w:tc>
      </w:tr>
    </w:tbl>
    <w:p/>
    <w:tbl>
      <w:tblPr>
        <w:tblW w:type="auto" w:w="0"/>
        <w:jc w:val="left"/>
        <w:tblLook w:firstColumn="1" w:firstRow="1" w:lastColumn="0" w:lastRow="0" w:noHBand="0" w:noVBand="1" w:val="04A0"/>
      </w:tblPr>
      <w:tblGrid>
        <w:gridCol w:w="4513"/>
        <w:gridCol w:w="4513"/>
      </w:tblGrid>
      <w:tr>
        <w:tc>
          <w:tcPr>
            <w:tcW w:type="dxa" w:w="1701"/>
            <w:tcBorders>
              <w:top w:val="single" w:sz="4" w:color="DDDDDD"/>
              <w:left w:val="single" w:sz="4" w:color="DDDDDD"/>
              <w:bottom w:val="single" w:sz="4" w:color="DDDDDD"/>
              <w:right w:val="single" w:sz="4" w:color="DDDDDD"/>
            </w:tcBorders>
            <w:shd w:val="clear" w:color="auto" w:fill="EEF3FB"/>
          </w:tcPr>
          <w:p>
            <w:pPr>
              <w:spacing w:before="60" w:after="60"/>
              <w:ind w:left="85"/>
            </w:pPr>
            <w:r>
              <w:rPr>
                <w:rFonts w:ascii="Arial" w:hAnsi="Arial"/>
                <w:b/>
                <w:color w:val="2F5496"/>
                <w:sz w:val="20"/>
              </w:rPr>
              <w:t>To:</w:t>
            </w:r>
          </w:p>
        </w:tc>
        <w:tc>
          <w:tcPr>
            <w:tcW w:type="dxa" w:w="7370"/>
            <w:tcBorders>
              <w:top w:val="single" w:sz="4" w:color="DDDDDD"/>
              <w:left w:val="single" w:sz="4" w:color="DDDDDD"/>
              <w:bottom w:val="single" w:sz="4" w:color="DDDDDD"/>
              <w:right w:val="single" w:sz="4" w:color="DDDDDD"/>
            </w:tcBorders>
            <w:shd w:val="clear" w:color="auto" w:fill="FFFFFF"/>
          </w:tcPr>
          <w:p>
            <w:pPr>
              <w:spacing w:before="60" w:after="60"/>
              <w:ind w:left="85"/>
            </w:pPr>
            <w:r>
              <w:rPr>
                <w:rFonts w:ascii="Arial" w:hAnsi="Arial"/>
                <w:sz w:val="20"/>
              </w:rPr>
              <w:t>All Staff — Cadillac Hertz Team JOTA</w:t>
            </w:r>
          </w:p>
        </w:tc>
      </w:tr>
      <w:tr>
        <w:tc>
          <w:tcPr>
            <w:tcW w:type="dxa" w:w="1701"/>
            <w:tcBorders>
              <w:top w:val="single" w:sz="4" w:color="DDDDDD"/>
              <w:left w:val="single" w:sz="4" w:color="DDDDDD"/>
              <w:bottom w:val="single" w:sz="4" w:color="DDDDDD"/>
              <w:right w:val="single" w:sz="4" w:color="DDDDDD"/>
            </w:tcBorders>
            <w:shd w:val="clear" w:color="auto" w:fill="EEF3FB"/>
          </w:tcPr>
          <w:p>
            <w:pPr>
              <w:spacing w:before="60" w:after="60"/>
              <w:ind w:left="85"/>
            </w:pPr>
            <w:r>
              <w:rPr>
                <w:rFonts w:ascii="Arial" w:hAnsi="Arial"/>
                <w:b/>
                <w:color w:val="2F5496"/>
                <w:sz w:val="20"/>
              </w:rPr>
              <w:t>From:</w:t>
            </w:r>
          </w:p>
        </w:tc>
        <w:tc>
          <w:tcPr>
            <w:tcW w:type="dxa" w:w="7370"/>
            <w:tcBorders>
              <w:top w:val="single" w:sz="4" w:color="DDDDDD"/>
              <w:left w:val="single" w:sz="4" w:color="DDDDDD"/>
              <w:bottom w:val="single" w:sz="4" w:color="DDDDDD"/>
              <w:right w:val="single" w:sz="4" w:color="DDDDDD"/>
            </w:tcBorders>
            <w:shd w:val="clear" w:color="auto" w:fill="FFFFFF"/>
          </w:tcPr>
          <w:p>
            <w:pPr>
              <w:spacing w:before="60" w:after="60"/>
              <w:ind w:left="85"/>
            </w:pPr>
            <w:r>
              <w:rPr>
                <w:rFonts w:ascii="Arial" w:hAnsi="Arial"/>
                <w:sz w:val="20"/>
              </w:rPr>
              <w:t>Tim Rocker, Sustainability Manager</w:t>
            </w:r>
          </w:p>
        </w:tc>
      </w:tr>
      <w:tr>
        <w:tc>
          <w:tcPr>
            <w:tcW w:type="dxa" w:w="1701"/>
            <w:tcBorders>
              <w:top w:val="single" w:sz="4" w:color="DDDDDD"/>
              <w:left w:val="single" w:sz="4" w:color="DDDDDD"/>
              <w:bottom w:val="single" w:sz="4" w:color="DDDDDD"/>
              <w:right w:val="single" w:sz="4" w:color="DDDDDD"/>
            </w:tcBorders>
            <w:shd w:val="clear" w:color="auto" w:fill="EEF3FB"/>
          </w:tcPr>
          <w:p>
            <w:pPr>
              <w:spacing w:before="60" w:after="60"/>
              <w:ind w:left="85"/>
            </w:pPr>
            <w:r>
              <w:rPr>
                <w:rFonts w:ascii="Arial" w:hAnsi="Arial"/>
                <w:b/>
                <w:color w:val="2F5496"/>
                <w:sz w:val="20"/>
              </w:rPr>
              <w:t>Date:</w:t>
            </w:r>
          </w:p>
        </w:tc>
        <w:tc>
          <w:tcPr>
            <w:tcW w:type="dxa" w:w="7370"/>
            <w:tcBorders>
              <w:top w:val="single" w:sz="4" w:color="DDDDDD"/>
              <w:left w:val="single" w:sz="4" w:color="DDDDDD"/>
              <w:bottom w:val="single" w:sz="4" w:color="DDDDDD"/>
              <w:right w:val="single" w:sz="4" w:color="DDDDDD"/>
            </w:tcBorders>
            <w:shd w:val="clear" w:color="auto" w:fill="FFFFFF"/>
          </w:tcPr>
          <w:p>
            <w:pPr>
              <w:spacing w:before="60" w:after="60"/>
              <w:ind w:left="85"/>
            </w:pPr>
            <w:r>
              <w:rPr>
                <w:rFonts w:ascii="Arial" w:hAnsi="Arial"/>
                <w:sz w:val="20"/>
              </w:rPr>
              <w:t>21 March 2026</w:t>
            </w:r>
          </w:p>
        </w:tc>
      </w:tr>
      <w:tr>
        <w:tc>
          <w:tcPr>
            <w:tcW w:type="dxa" w:w="1701"/>
            <w:tcBorders>
              <w:top w:val="single" w:sz="4" w:color="DDDDDD"/>
              <w:left w:val="single" w:sz="4" w:color="DDDDDD"/>
              <w:bottom w:val="single" w:sz="4" w:color="DDDDDD"/>
              <w:right w:val="single" w:sz="4" w:color="DDDDDD"/>
            </w:tcBorders>
            <w:shd w:val="clear" w:color="auto" w:fill="EEF3FB"/>
          </w:tcPr>
          <w:p>
            <w:pPr>
              <w:spacing w:before="60" w:after="60"/>
              <w:ind w:left="85"/>
            </w:pPr>
            <w:r>
              <w:rPr>
                <w:rFonts w:ascii="Arial" w:hAnsi="Arial"/>
                <w:b/>
                <w:color w:val="2F5496"/>
                <w:sz w:val="20"/>
              </w:rPr>
              <w:t>Subject:</w:t>
            </w:r>
          </w:p>
        </w:tc>
        <w:tc>
          <w:tcPr>
            <w:tcW w:type="dxa" w:w="7370"/>
            <w:tcBorders>
              <w:top w:val="single" w:sz="4" w:color="DDDDDD"/>
              <w:left w:val="single" w:sz="4" w:color="DDDDDD"/>
              <w:bottom w:val="single" w:sz="4" w:color="DDDDDD"/>
              <w:right w:val="single" w:sz="4" w:color="DDDDDD"/>
            </w:tcBorders>
            <w:shd w:val="clear" w:color="auto" w:fill="FFFFFF"/>
          </w:tcPr>
          <w:p>
            <w:pPr>
              <w:spacing w:before="60" w:after="60"/>
              <w:ind w:left="85"/>
            </w:pPr>
            <w:r>
              <w:rPr>
                <w:rFonts w:ascii="Arial" w:hAnsi="Arial"/>
                <w:sz w:val="20"/>
              </w:rPr>
              <w:t>Environmental Management System — Annual Awareness Update</w:t>
            </w:r>
          </w:p>
        </w:tc>
      </w:tr>
    </w:tbl>
    <w:p/>
    <w:p>
      <w:pPr>
        <w:spacing w:before="0" w:after="160"/>
      </w:pPr>
      <w:r>
        <w:rPr>
          <w:rFonts w:ascii="Arial" w:hAnsi="Arial"/>
          <w:b w:val="0"/>
          <w:i w:val="0"/>
          <w:sz w:val="22"/>
        </w:rPr>
        <w:t>Dear Team,</w:t>
      </w:r>
    </w:p>
    <w:p>
      <w:pPr>
        <w:spacing w:before="0" w:after="160"/>
      </w:pPr>
      <w:r>
        <w:rPr>
          <w:rFonts w:ascii="Arial" w:hAnsi="Arial"/>
          <w:b w:val="0"/>
          <w:i w:val="0"/>
          <w:sz w:val="22"/>
        </w:rPr>
        <w:t>As part of our Environmental Management System (EMS), I want to make sure that everyone on the team is aware of our environmental responsibilities, our performance against this year's objectives, and what we each need to do on a day-to-day basis to help us meet our targets. This communication forms part of the evidence for our upcoming FIA 3-Star Environmental Accreditation audit.</w:t>
      </w:r>
    </w:p>
    <w:p>
      <w:pPr>
        <w:spacing w:before="120" w:after="120"/>
        <w:pBdr>
          <w:bottom w:val="single" w:sz="6" w:color="2F5496"/>
        </w:pBdr>
      </w:pPr>
    </w:p>
    <w:p>
      <w:pPr>
        <w:spacing w:before="120" w:after="80"/>
        <w:jc w:val="left"/>
      </w:pPr>
      <w:r>
        <w:rPr>
          <w:rFonts w:ascii="Arial" w:hAnsi="Arial"/>
          <w:b/>
          <w:i w:val="0"/>
          <w:color w:val="1F3864"/>
          <w:sz w:val="24"/>
        </w:rPr>
        <w:t>1.  Our Significant Environmental Aspects</w:t>
      </w:r>
    </w:p>
    <w:p>
      <w:pPr>
        <w:spacing w:before="0" w:after="120"/>
      </w:pPr>
      <w:r>
        <w:rPr>
          <w:rFonts w:ascii="Arial" w:hAnsi="Arial"/>
          <w:b w:val="0"/>
          <w:i w:val="0"/>
          <w:sz w:val="22"/>
        </w:rPr>
        <w:t>Through our annual environmental review we have identified the following as our most significant environmental aspects — the activities, products, and services that have the greatest potential impact on the environment:</w:t>
      </w:r>
    </w:p>
    <w:p>
      <w:pPr>
        <w:pStyle w:val="ListBullet"/>
        <w:spacing w:before="0" w:after="80"/>
        <w:ind w:left="454"/>
      </w:pPr>
      <w:r>
        <w:rPr>
          <w:rFonts w:ascii="Arial" w:hAnsi="Arial"/>
          <w:b/>
          <w:sz w:val="22"/>
        </w:rPr>
        <w:t xml:space="preserve">Carbon emissions from race car fuel and logistics — </w:t>
      </w:r>
      <w:r>
        <w:rPr>
          <w:rFonts w:ascii="Arial" w:hAnsi="Arial"/>
          <w:sz w:val="22"/>
        </w:rPr>
        <w:t>our trackside fuel consumption and freight transport are the largest single contributors to our overall carbon footprint.</w:t>
      </w:r>
    </w:p>
    <w:p>
      <w:pPr>
        <w:pStyle w:val="ListBullet"/>
        <w:spacing w:before="0" w:after="80"/>
        <w:ind w:left="454"/>
      </w:pPr>
      <w:r>
        <w:rPr>
          <w:rFonts w:ascii="Arial" w:hAnsi="Arial"/>
          <w:b/>
          <w:sz w:val="22"/>
        </w:rPr>
        <w:t xml:space="preserve">Energy consumption at the workshop — </w:t>
      </w:r>
      <w:r>
        <w:rPr>
          <w:rFonts w:ascii="Arial" w:hAnsi="Arial"/>
          <w:sz w:val="22"/>
        </w:rPr>
        <w:t>electricity and heating oil use at our Bells Yew Green facility.</w:t>
      </w:r>
    </w:p>
    <w:p>
      <w:pPr>
        <w:pStyle w:val="ListBullet"/>
        <w:spacing w:before="0" w:after="80"/>
        <w:ind w:left="454"/>
      </w:pPr>
      <w:r>
        <w:rPr>
          <w:rFonts w:ascii="Arial" w:hAnsi="Arial"/>
          <w:b/>
          <w:sz w:val="22"/>
        </w:rPr>
        <w:t xml:space="preserve">Waste generation — </w:t>
      </w:r>
      <w:r>
        <w:rPr>
          <w:rFonts w:ascii="Arial" w:hAnsi="Arial"/>
          <w:sz w:val="22"/>
        </w:rPr>
        <w:t>production waste, packaging, and workshop consumables, including the segregation of recyclables from general waste.</w:t>
      </w:r>
    </w:p>
    <w:p>
      <w:pPr>
        <w:pStyle w:val="ListBullet"/>
        <w:spacing w:before="0" w:after="80"/>
        <w:ind w:left="454"/>
      </w:pPr>
      <w:r>
        <w:rPr>
          <w:rFonts w:ascii="Arial" w:hAnsi="Arial"/>
          <w:b/>
          <w:sz w:val="22"/>
        </w:rPr>
        <w:t xml:space="preserve">Refrigerant / F-Gas use — </w:t>
      </w:r>
      <w:r>
        <w:rPr>
          <w:rFonts w:ascii="Arial" w:hAnsi="Arial"/>
          <w:sz w:val="22"/>
        </w:rPr>
        <w:t>potential leaks from air conditioning units on site.</w:t>
      </w:r>
    </w:p>
    <w:p>
      <w:pPr>
        <w:pStyle w:val="ListBullet"/>
        <w:spacing w:before="0" w:after="80"/>
        <w:ind w:left="454"/>
      </w:pPr>
      <w:r>
        <w:rPr>
          <w:rFonts w:ascii="Arial" w:hAnsi="Arial"/>
          <w:b/>
          <w:sz w:val="22"/>
        </w:rPr>
        <w:t xml:space="preserve">Water consumption — </w:t>
      </w:r>
      <w:r>
        <w:rPr>
          <w:rFonts w:ascii="Arial" w:hAnsi="Arial"/>
          <w:sz w:val="22"/>
        </w:rPr>
        <w:t>facility water use for welfare and workshop operations.</w:t>
      </w:r>
    </w:p>
    <w:p>
      <w:pPr>
        <w:pStyle w:val="ListBullet"/>
        <w:spacing w:before="0" w:after="80"/>
        <w:ind w:left="454"/>
      </w:pPr>
      <w:r>
        <w:rPr>
          <w:rFonts w:ascii="Arial" w:hAnsi="Arial"/>
          <w:b/>
          <w:sz w:val="22"/>
        </w:rPr>
        <w:t xml:space="preserve">Hazardous materials — </w:t>
      </w:r>
      <w:r>
        <w:rPr>
          <w:rFonts w:ascii="Arial" w:hAnsi="Arial"/>
          <w:sz w:val="22"/>
        </w:rPr>
        <w:t>lubricants, chemicals, and solvents used in vehicle preparation and maintenance.</w:t>
      </w:r>
    </w:p>
    <w:p>
      <w:pPr>
        <w:pStyle w:val="ListBullet"/>
        <w:spacing w:before="0" w:after="80"/>
        <w:ind w:left="454"/>
      </w:pPr>
      <w:r>
        <w:rPr>
          <w:rFonts w:ascii="Arial" w:hAnsi="Arial"/>
          <w:b/>
          <w:sz w:val="22"/>
        </w:rPr>
        <w:t xml:space="preserve">Transport and commuting — </w:t>
      </w:r>
      <w:r>
        <w:rPr>
          <w:rFonts w:ascii="Arial" w:hAnsi="Arial"/>
          <w:sz w:val="22"/>
        </w:rPr>
        <w:t>road miles from company vehicles, staff commuting, and long-haul freight to race venues.</w:t>
      </w:r>
    </w:p>
    <w:p>
      <w:pPr>
        <w:spacing w:before="120" w:after="120"/>
        <w:pBdr>
          <w:bottom w:val="single" w:sz="6" w:color="2F5496"/>
        </w:pBdr>
      </w:pPr>
    </w:p>
    <w:p>
      <w:pPr>
        <w:spacing w:before="120" w:after="80"/>
        <w:jc w:val="left"/>
      </w:pPr>
      <w:r>
        <w:rPr>
          <w:rFonts w:ascii="Arial" w:hAnsi="Arial"/>
          <w:b/>
          <w:i w:val="0"/>
          <w:color w:val="1F3864"/>
          <w:sz w:val="24"/>
        </w:rPr>
        <w:t>2.  Our Environmental Objectives and Current Performance</w:t>
      </w:r>
    </w:p>
    <w:p>
      <w:pPr>
        <w:spacing w:before="0" w:after="120"/>
      </w:pPr>
      <w:r>
        <w:rPr>
          <w:rFonts w:ascii="Arial" w:hAnsi="Arial"/>
          <w:b w:val="0"/>
          <w:i w:val="0"/>
          <w:sz w:val="22"/>
        </w:rPr>
        <w:t>We have 11 environmental objectives registered under our EMS. Below is a summary of our key performance areas and where we currently stand:</w:t>
      </w:r>
    </w:p>
    <w:tbl>
      <w:tblPr>
        <w:tblW w:type="auto" w:w="0"/>
        <w:jc w:val="left"/>
        <w:tblLook w:firstColumn="1" w:firstRow="1" w:lastColumn="0" w:lastRow="0" w:noHBand="0" w:noVBand="1" w:val="04A0"/>
      </w:tblPr>
      <w:tblGrid>
        <w:gridCol w:w="3009"/>
        <w:gridCol w:w="3009"/>
        <w:gridCol w:w="3009"/>
      </w:tblGrid>
      <w:tr>
        <w:tc>
          <w:tcPr>
            <w:tcW w:type="dxa" w:w="3118"/>
            <w:shd w:val="clear" w:color="auto" w:fill="1F3864"/>
            <w:tcBorders>
              <w:top w:val="single" w:sz="4" w:color="1F3864"/>
              <w:left w:val="single" w:sz="4" w:color="1F3864"/>
              <w:bottom w:val="single" w:sz="4" w:color="1F3864"/>
              <w:right w:val="single" w:sz="4" w:color="1F3864"/>
            </w:tcBorders>
          </w:tcPr>
          <w:p>
            <w:pPr>
              <w:spacing w:before="80" w:after="80"/>
              <w:ind w:left="85"/>
            </w:pPr>
            <w:r>
              <w:rPr>
                <w:rFonts w:ascii="Arial" w:hAnsi="Arial"/>
                <w:b/>
                <w:color w:val="FFFFFF"/>
                <w:sz w:val="20"/>
              </w:rPr>
              <w:t>Area</w:t>
            </w:r>
          </w:p>
        </w:tc>
        <w:tc>
          <w:tcPr>
            <w:tcW w:type="dxa" w:w="2551"/>
            <w:shd w:val="clear" w:color="auto" w:fill="1F3864"/>
            <w:tcBorders>
              <w:top w:val="single" w:sz="4" w:color="1F3864"/>
              <w:left w:val="single" w:sz="4" w:color="1F3864"/>
              <w:bottom w:val="single" w:sz="4" w:color="1F3864"/>
              <w:right w:val="single" w:sz="4" w:color="1F3864"/>
            </w:tcBorders>
          </w:tcPr>
          <w:p>
            <w:pPr>
              <w:spacing w:before="80" w:after="80"/>
              <w:ind w:left="85"/>
            </w:pPr>
            <w:r>
              <w:rPr>
                <w:rFonts w:ascii="Arial" w:hAnsi="Arial"/>
                <w:b/>
                <w:color w:val="FFFFFF"/>
                <w:sz w:val="20"/>
              </w:rPr>
              <w:t>2024 Baseline / Status</w:t>
            </w:r>
          </w:p>
        </w:tc>
        <w:tc>
          <w:tcPr>
            <w:tcW w:type="dxa" w:w="3402"/>
            <w:shd w:val="clear" w:color="auto" w:fill="1F3864"/>
            <w:tcBorders>
              <w:top w:val="single" w:sz="4" w:color="1F3864"/>
              <w:left w:val="single" w:sz="4" w:color="1F3864"/>
              <w:bottom w:val="single" w:sz="4" w:color="1F3864"/>
              <w:right w:val="single" w:sz="4" w:color="1F3864"/>
            </w:tcBorders>
          </w:tcPr>
          <w:p>
            <w:pPr>
              <w:spacing w:before="80" w:after="80"/>
              <w:ind w:left="85"/>
            </w:pPr>
            <w:r>
              <w:rPr>
                <w:rFonts w:ascii="Arial" w:hAnsi="Arial"/>
                <w:b/>
                <w:color w:val="FFFFFF"/>
                <w:sz w:val="20"/>
              </w:rPr>
              <w:t>Progress</w:t>
            </w:r>
          </w:p>
        </w:tc>
      </w:tr>
      <w:tr>
        <w:tc>
          <w:tcPr>
            <w:tcW w:type="dxa" w:w="3118"/>
            <w:shd w:val="clear" w:color="auto" w:fill="FFFFFF"/>
            <w:tcBorders>
              <w:top w:val="single" w:sz="4" w:color="CCCCCC"/>
              <w:left w:val="single" w:sz="4" w:color="CCCCCC"/>
              <w:bottom w:val="single" w:sz="4" w:color="CCCCCC"/>
              <w:right w:val="single" w:sz="4" w:color="CCCCCC"/>
            </w:tcBorders>
          </w:tcPr>
          <w:p>
            <w:pPr>
              <w:spacing w:before="60" w:after="60"/>
              <w:ind w:left="85"/>
            </w:pPr>
            <w:r>
              <w:rPr>
                <w:rFonts w:ascii="Arial" w:hAnsi="Arial"/>
                <w:b/>
                <w:sz w:val="19"/>
              </w:rPr>
              <w:t>Carbon Footprint (Obj 1)</w:t>
            </w:r>
          </w:p>
        </w:tc>
        <w:tc>
          <w:tcPr>
            <w:tcW w:type="dxa" w:w="2551"/>
            <w:shd w:val="clear" w:color="auto" w:fill="FFFFFF"/>
            <w:tcBorders>
              <w:top w:val="single" w:sz="4" w:color="CCCCCC"/>
              <w:left w:val="single" w:sz="4" w:color="CCCCCC"/>
              <w:bottom w:val="single" w:sz="4" w:color="CCCCCC"/>
              <w:right w:val="single" w:sz="4" w:color="CCCCCC"/>
            </w:tcBorders>
          </w:tcPr>
          <w:p>
            <w:pPr>
              <w:spacing w:before="60" w:after="60"/>
              <w:ind w:left="85"/>
            </w:pPr>
            <w:r>
              <w:rPr>
                <w:rFonts w:ascii="Arial" w:hAnsi="Arial"/>
                <w:sz w:val="19"/>
              </w:rPr>
              <w:t>2,075 tCO₂e total (2024 VSME)</w:t>
            </w:r>
          </w:p>
        </w:tc>
        <w:tc>
          <w:tcPr>
            <w:tcW w:type="dxa" w:w="3402"/>
            <w:shd w:val="clear" w:color="auto" w:fill="FFFFFF"/>
            <w:tcBorders>
              <w:top w:val="single" w:sz="4" w:color="CCCCCC"/>
              <w:left w:val="single" w:sz="4" w:color="CCCCCC"/>
              <w:bottom w:val="single" w:sz="4" w:color="CCCCCC"/>
              <w:right w:val="single" w:sz="4" w:color="CCCCCC"/>
            </w:tcBorders>
          </w:tcPr>
          <w:p>
            <w:pPr>
              <w:spacing w:before="60" w:after="60"/>
              <w:ind w:left="85"/>
            </w:pPr>
            <w:r>
              <w:rPr>
                <w:rFonts w:ascii="Arial" w:hAnsi="Arial"/>
                <w:sz w:val="19"/>
              </w:rPr>
              <w:t>✅  Baseline established. Scope 2 = 0 (renewable electricity). Target: 4% reduction per year.</w:t>
            </w:r>
          </w:p>
        </w:tc>
      </w:tr>
      <w:tr>
        <w:tc>
          <w:tcPr>
            <w:tcW w:type="dxa" w:w="3118"/>
            <w:shd w:val="clear" w:color="auto" w:fill="F0F4FA"/>
            <w:tcBorders>
              <w:top w:val="single" w:sz="4" w:color="CCCCCC"/>
              <w:left w:val="single" w:sz="4" w:color="CCCCCC"/>
              <w:bottom w:val="single" w:sz="4" w:color="CCCCCC"/>
              <w:right w:val="single" w:sz="4" w:color="CCCCCC"/>
            </w:tcBorders>
          </w:tcPr>
          <w:p>
            <w:pPr>
              <w:spacing w:before="60" w:after="60"/>
              <w:ind w:left="85"/>
            </w:pPr>
            <w:r>
              <w:rPr>
                <w:rFonts w:ascii="Arial" w:hAnsi="Arial"/>
                <w:b/>
                <w:sz w:val="19"/>
              </w:rPr>
              <w:t>Energy Use (Obj 5)</w:t>
            </w:r>
          </w:p>
        </w:tc>
        <w:tc>
          <w:tcPr>
            <w:tcW w:type="dxa" w:w="2551"/>
            <w:shd w:val="clear" w:color="auto" w:fill="F0F4FA"/>
            <w:tcBorders>
              <w:top w:val="single" w:sz="4" w:color="CCCCCC"/>
              <w:left w:val="single" w:sz="4" w:color="CCCCCC"/>
              <w:bottom w:val="single" w:sz="4" w:color="CCCCCC"/>
              <w:right w:val="single" w:sz="4" w:color="CCCCCC"/>
            </w:tcBorders>
          </w:tcPr>
          <w:p>
            <w:pPr>
              <w:spacing w:before="60" w:after="60"/>
              <w:ind w:left="85"/>
            </w:pPr>
            <w:r>
              <w:rPr>
                <w:rFonts w:ascii="Arial" w:hAnsi="Arial"/>
                <w:sz w:val="19"/>
              </w:rPr>
              <w:t>143.8 MWh (Jan–Oct 2024)</w:t>
            </w:r>
          </w:p>
        </w:tc>
        <w:tc>
          <w:tcPr>
            <w:tcW w:type="dxa" w:w="3402"/>
            <w:shd w:val="clear" w:color="auto" w:fill="F0F4FA"/>
            <w:tcBorders>
              <w:top w:val="single" w:sz="4" w:color="CCCCCC"/>
              <w:left w:val="single" w:sz="4" w:color="CCCCCC"/>
              <w:bottom w:val="single" w:sz="4" w:color="CCCCCC"/>
              <w:right w:val="single" w:sz="4" w:color="CCCCCC"/>
            </w:tcBorders>
          </w:tcPr>
          <w:p>
            <w:pPr>
              <w:spacing w:before="60" w:after="60"/>
              <w:ind w:left="85"/>
            </w:pPr>
            <w:r>
              <w:rPr>
                <w:rFonts w:ascii="Arial" w:hAnsi="Arial"/>
                <w:sz w:val="19"/>
              </w:rPr>
              <w:t>⏳  Full year 2025 data being compiled. Target: 10% reduction vs 2024.</w:t>
            </w:r>
          </w:p>
        </w:tc>
      </w:tr>
      <w:tr>
        <w:tc>
          <w:tcPr>
            <w:tcW w:type="dxa" w:w="3118"/>
            <w:shd w:val="clear" w:color="auto" w:fill="FFFFFF"/>
            <w:tcBorders>
              <w:top w:val="single" w:sz="4" w:color="CCCCCC"/>
              <w:left w:val="single" w:sz="4" w:color="CCCCCC"/>
              <w:bottom w:val="single" w:sz="4" w:color="CCCCCC"/>
              <w:right w:val="single" w:sz="4" w:color="CCCCCC"/>
            </w:tcBorders>
          </w:tcPr>
          <w:p>
            <w:pPr>
              <w:spacing w:before="60" w:after="60"/>
              <w:ind w:left="85"/>
            </w:pPr>
            <w:r>
              <w:rPr>
                <w:rFonts w:ascii="Arial" w:hAnsi="Arial"/>
                <w:b/>
                <w:sz w:val="19"/>
              </w:rPr>
              <w:t>Water Use (Obj 6)</w:t>
            </w:r>
          </w:p>
        </w:tc>
        <w:tc>
          <w:tcPr>
            <w:tcW w:type="dxa" w:w="2551"/>
            <w:shd w:val="clear" w:color="auto" w:fill="FFFFFF"/>
            <w:tcBorders>
              <w:top w:val="single" w:sz="4" w:color="CCCCCC"/>
              <w:left w:val="single" w:sz="4" w:color="CCCCCC"/>
              <w:bottom w:val="single" w:sz="4" w:color="CCCCCC"/>
              <w:right w:val="single" w:sz="4" w:color="CCCCCC"/>
            </w:tcBorders>
          </w:tcPr>
          <w:p>
            <w:pPr>
              <w:spacing w:before="60" w:after="60"/>
              <w:ind w:left="85"/>
            </w:pPr>
            <w:r>
              <w:rPr>
                <w:rFonts w:ascii="Arial" w:hAnsi="Arial"/>
                <w:sz w:val="19"/>
              </w:rPr>
              <w:t>320 m³ (2024)</w:t>
            </w:r>
          </w:p>
        </w:tc>
        <w:tc>
          <w:tcPr>
            <w:tcW w:type="dxa" w:w="3402"/>
            <w:shd w:val="clear" w:color="auto" w:fill="FFFFFF"/>
            <w:tcBorders>
              <w:top w:val="single" w:sz="4" w:color="CCCCCC"/>
              <w:left w:val="single" w:sz="4" w:color="CCCCCC"/>
              <w:bottom w:val="single" w:sz="4" w:color="CCCCCC"/>
              <w:right w:val="single" w:sz="4" w:color="CCCCCC"/>
            </w:tcBorders>
          </w:tcPr>
          <w:p>
            <w:pPr>
              <w:spacing w:before="60" w:after="60"/>
              <w:ind w:left="85"/>
            </w:pPr>
            <w:r>
              <w:rPr>
                <w:rFonts w:ascii="Arial" w:hAnsi="Arial"/>
                <w:sz w:val="19"/>
              </w:rPr>
              <w:t>✅  Baseline confirmed. Target: 5% reduction.</w:t>
            </w:r>
          </w:p>
        </w:tc>
      </w:tr>
      <w:tr>
        <w:tc>
          <w:tcPr>
            <w:tcW w:type="dxa" w:w="3118"/>
            <w:shd w:val="clear" w:color="auto" w:fill="F0F4FA"/>
            <w:tcBorders>
              <w:top w:val="single" w:sz="4" w:color="CCCCCC"/>
              <w:left w:val="single" w:sz="4" w:color="CCCCCC"/>
              <w:bottom w:val="single" w:sz="4" w:color="CCCCCC"/>
              <w:right w:val="single" w:sz="4" w:color="CCCCCC"/>
            </w:tcBorders>
          </w:tcPr>
          <w:p>
            <w:pPr>
              <w:spacing w:before="60" w:after="60"/>
              <w:ind w:left="85"/>
            </w:pPr>
            <w:r>
              <w:rPr>
                <w:rFonts w:ascii="Arial" w:hAnsi="Arial"/>
                <w:b/>
                <w:sz w:val="19"/>
              </w:rPr>
              <w:t>Waste &amp; Recycling (Obj 4)</w:t>
            </w:r>
          </w:p>
        </w:tc>
        <w:tc>
          <w:tcPr>
            <w:tcW w:type="dxa" w:w="2551"/>
            <w:shd w:val="clear" w:color="auto" w:fill="F0F4FA"/>
            <w:tcBorders>
              <w:top w:val="single" w:sz="4" w:color="CCCCCC"/>
              <w:left w:val="single" w:sz="4" w:color="CCCCCC"/>
              <w:bottom w:val="single" w:sz="4" w:color="CCCCCC"/>
              <w:right w:val="single" w:sz="4" w:color="CCCCCC"/>
            </w:tcBorders>
          </w:tcPr>
          <w:p>
            <w:pPr>
              <w:spacing w:before="60" w:after="60"/>
              <w:ind w:left="85"/>
            </w:pPr>
            <w:r>
              <w:rPr>
                <w:rFonts w:ascii="Arial" w:hAnsi="Arial"/>
                <w:sz w:val="19"/>
              </w:rPr>
              <w:t>Zero landfill — 34.34% recycled</w:t>
            </w:r>
          </w:p>
        </w:tc>
        <w:tc>
          <w:tcPr>
            <w:tcW w:type="dxa" w:w="3402"/>
            <w:shd w:val="clear" w:color="auto" w:fill="F0F4FA"/>
            <w:tcBorders>
              <w:top w:val="single" w:sz="4" w:color="CCCCCC"/>
              <w:left w:val="single" w:sz="4" w:color="CCCCCC"/>
              <w:bottom w:val="single" w:sz="4" w:color="CCCCCC"/>
              <w:right w:val="single" w:sz="4" w:color="CCCCCC"/>
            </w:tcBorders>
          </w:tcPr>
          <w:p>
            <w:pPr>
              <w:spacing w:before="60" w:after="60"/>
              <w:ind w:left="85"/>
            </w:pPr>
            <w:r>
              <w:rPr>
                <w:rFonts w:ascii="Arial" w:hAnsi="Arial"/>
                <w:sz w:val="19"/>
              </w:rPr>
              <w:t>✅  Zero landfill achieved. Recycling improved from 25% in 2024.</w:t>
            </w:r>
          </w:p>
        </w:tc>
      </w:tr>
      <w:tr>
        <w:tc>
          <w:tcPr>
            <w:tcW w:type="dxa" w:w="3118"/>
            <w:shd w:val="clear" w:color="auto" w:fill="FFFFFF"/>
            <w:tcBorders>
              <w:top w:val="single" w:sz="4" w:color="CCCCCC"/>
              <w:left w:val="single" w:sz="4" w:color="CCCCCC"/>
              <w:bottom w:val="single" w:sz="4" w:color="CCCCCC"/>
              <w:right w:val="single" w:sz="4" w:color="CCCCCC"/>
            </w:tcBorders>
          </w:tcPr>
          <w:p>
            <w:pPr>
              <w:spacing w:before="60" w:after="60"/>
              <w:ind w:left="85"/>
            </w:pPr>
            <w:r>
              <w:rPr>
                <w:rFonts w:ascii="Arial" w:hAnsi="Arial"/>
                <w:b/>
                <w:sz w:val="19"/>
              </w:rPr>
              <w:t>Sustainable Procurement (Obj 8)</w:t>
            </w:r>
          </w:p>
        </w:tc>
        <w:tc>
          <w:tcPr>
            <w:tcW w:type="dxa" w:w="2551"/>
            <w:shd w:val="clear" w:color="auto" w:fill="FFFFFF"/>
            <w:tcBorders>
              <w:top w:val="single" w:sz="4" w:color="CCCCCC"/>
              <w:left w:val="single" w:sz="4" w:color="CCCCCC"/>
              <w:bottom w:val="single" w:sz="4" w:color="CCCCCC"/>
              <w:right w:val="single" w:sz="4" w:color="CCCCCC"/>
            </w:tcBorders>
          </w:tcPr>
          <w:p>
            <w:pPr>
              <w:spacing w:before="60" w:after="60"/>
              <w:ind w:left="85"/>
            </w:pPr>
            <w:r>
              <w:rPr>
                <w:rFonts w:ascii="Arial" w:hAnsi="Arial"/>
                <w:sz w:val="19"/>
              </w:rPr>
              <w:t>18.75% of suppliers ISO 14001 certified</w:t>
            </w:r>
          </w:p>
        </w:tc>
        <w:tc>
          <w:tcPr>
            <w:tcW w:type="dxa" w:w="3402"/>
            <w:shd w:val="clear" w:color="auto" w:fill="FFFFFF"/>
            <w:tcBorders>
              <w:top w:val="single" w:sz="4" w:color="CCCCCC"/>
              <w:left w:val="single" w:sz="4" w:color="CCCCCC"/>
              <w:bottom w:val="single" w:sz="4" w:color="CCCCCC"/>
              <w:right w:val="single" w:sz="4" w:color="CCCCCC"/>
            </w:tcBorders>
          </w:tcPr>
          <w:p>
            <w:pPr>
              <w:spacing w:before="60" w:after="60"/>
              <w:ind w:left="85"/>
            </w:pPr>
            <w:r>
              <w:rPr>
                <w:rFonts w:ascii="Arial" w:hAnsi="Arial"/>
                <w:sz w:val="19"/>
              </w:rPr>
              <w:t>⏳  62.5% have an environmental policy. Supplier questionnaires ongoing.</w:t>
            </w:r>
          </w:p>
        </w:tc>
      </w:tr>
      <w:tr>
        <w:tc>
          <w:tcPr>
            <w:tcW w:type="dxa" w:w="3118"/>
            <w:shd w:val="clear" w:color="auto" w:fill="F0F4FA"/>
            <w:tcBorders>
              <w:top w:val="single" w:sz="4" w:color="CCCCCC"/>
              <w:left w:val="single" w:sz="4" w:color="CCCCCC"/>
              <w:bottom w:val="single" w:sz="4" w:color="CCCCCC"/>
              <w:right w:val="single" w:sz="4" w:color="CCCCCC"/>
            </w:tcBorders>
          </w:tcPr>
          <w:p>
            <w:pPr>
              <w:spacing w:before="60" w:after="60"/>
              <w:ind w:left="85"/>
            </w:pPr>
            <w:r>
              <w:rPr>
                <w:rFonts w:ascii="Arial" w:hAnsi="Arial"/>
                <w:b/>
                <w:sz w:val="19"/>
              </w:rPr>
              <w:t>Infrastructure (Obj 3)</w:t>
            </w:r>
          </w:p>
        </w:tc>
        <w:tc>
          <w:tcPr>
            <w:tcW w:type="dxa" w:w="2551"/>
            <w:shd w:val="clear" w:color="auto" w:fill="F0F4FA"/>
            <w:tcBorders>
              <w:top w:val="single" w:sz="4" w:color="CCCCCC"/>
              <w:left w:val="single" w:sz="4" w:color="CCCCCC"/>
              <w:bottom w:val="single" w:sz="4" w:color="CCCCCC"/>
              <w:right w:val="single" w:sz="4" w:color="CCCCCC"/>
            </w:tcBorders>
          </w:tcPr>
          <w:p>
            <w:pPr>
              <w:spacing w:before="60" w:after="60"/>
              <w:ind w:left="85"/>
            </w:pPr>
            <w:r>
              <w:rPr>
                <w:rFonts w:ascii="Arial" w:hAnsi="Arial"/>
                <w:sz w:val="19"/>
              </w:rPr>
              <w:t>EV charging installed</w:t>
            </w:r>
          </w:p>
        </w:tc>
        <w:tc>
          <w:tcPr>
            <w:tcW w:type="dxa" w:w="3402"/>
            <w:shd w:val="clear" w:color="auto" w:fill="F0F4FA"/>
            <w:tcBorders>
              <w:top w:val="single" w:sz="4" w:color="CCCCCC"/>
              <w:left w:val="single" w:sz="4" w:color="CCCCCC"/>
              <w:bottom w:val="single" w:sz="4" w:color="CCCCCC"/>
              <w:right w:val="single" w:sz="4" w:color="CCCCCC"/>
            </w:tcBorders>
          </w:tcPr>
          <w:p>
            <w:pPr>
              <w:spacing w:before="60" w:after="60"/>
              <w:ind w:left="85"/>
            </w:pPr>
            <w:r>
              <w:rPr>
                <w:rFonts w:ascii="Arial" w:hAnsi="Arial"/>
                <w:sz w:val="19"/>
              </w:rPr>
              <w:t>✅  Achieved. New engineering facility operational.</w:t>
            </w:r>
          </w:p>
        </w:tc>
      </w:tr>
      <w:tr>
        <w:tc>
          <w:tcPr>
            <w:tcW w:type="dxa" w:w="3118"/>
            <w:shd w:val="clear" w:color="auto" w:fill="FFFFFF"/>
            <w:tcBorders>
              <w:top w:val="single" w:sz="4" w:color="CCCCCC"/>
              <w:left w:val="single" w:sz="4" w:color="CCCCCC"/>
              <w:bottom w:val="single" w:sz="4" w:color="CCCCCC"/>
              <w:right w:val="single" w:sz="4" w:color="CCCCCC"/>
            </w:tcBorders>
          </w:tcPr>
          <w:p>
            <w:pPr>
              <w:spacing w:before="60" w:after="60"/>
              <w:ind w:left="85"/>
            </w:pPr>
            <w:r>
              <w:rPr>
                <w:rFonts w:ascii="Arial" w:hAnsi="Arial"/>
                <w:b/>
                <w:sz w:val="19"/>
              </w:rPr>
              <w:t>Transport (Obj 9)</w:t>
            </w:r>
          </w:p>
        </w:tc>
        <w:tc>
          <w:tcPr>
            <w:tcW w:type="dxa" w:w="2551"/>
            <w:shd w:val="clear" w:color="auto" w:fill="FFFFFF"/>
            <w:tcBorders>
              <w:top w:val="single" w:sz="4" w:color="CCCCCC"/>
              <w:left w:val="single" w:sz="4" w:color="CCCCCC"/>
              <w:bottom w:val="single" w:sz="4" w:color="CCCCCC"/>
              <w:right w:val="single" w:sz="4" w:color="CCCCCC"/>
            </w:tcBorders>
          </w:tcPr>
          <w:p>
            <w:pPr>
              <w:spacing w:before="60" w:after="60"/>
              <w:ind w:left="85"/>
            </w:pPr>
            <w:r>
              <w:rPr>
                <w:rFonts w:ascii="Arial" w:hAnsi="Arial"/>
                <w:sz w:val="19"/>
              </w:rPr>
              <w:t>Freight baseline: 1,085,112 tonne-miles (2024)</w:t>
            </w:r>
          </w:p>
        </w:tc>
        <w:tc>
          <w:tcPr>
            <w:tcW w:type="dxa" w:w="3402"/>
            <w:shd w:val="clear" w:color="auto" w:fill="FFFFFF"/>
            <w:tcBorders>
              <w:top w:val="single" w:sz="4" w:color="CCCCCC"/>
              <w:left w:val="single" w:sz="4" w:color="CCCCCC"/>
              <w:bottom w:val="single" w:sz="4" w:color="CCCCCC"/>
              <w:right w:val="single" w:sz="4" w:color="CCCCCC"/>
            </w:tcBorders>
          </w:tcPr>
          <w:p>
            <w:pPr>
              <w:spacing w:before="60" w:after="60"/>
              <w:ind w:left="85"/>
            </w:pPr>
            <w:r>
              <w:rPr>
                <w:rFonts w:ascii="Arial" w:hAnsi="Arial"/>
                <w:sz w:val="19"/>
              </w:rPr>
              <w:t>⏳  Transport log being established. Target: 7.5% reduction.</w:t>
            </w:r>
          </w:p>
        </w:tc>
      </w:tr>
      <w:tr>
        <w:tc>
          <w:tcPr>
            <w:tcW w:type="dxa" w:w="3118"/>
            <w:shd w:val="clear" w:color="auto" w:fill="F0F4FA"/>
            <w:tcBorders>
              <w:top w:val="single" w:sz="4" w:color="CCCCCC"/>
              <w:left w:val="single" w:sz="4" w:color="CCCCCC"/>
              <w:bottom w:val="single" w:sz="4" w:color="CCCCCC"/>
              <w:right w:val="single" w:sz="4" w:color="CCCCCC"/>
            </w:tcBorders>
          </w:tcPr>
          <w:p>
            <w:pPr>
              <w:spacing w:before="60" w:after="60"/>
              <w:ind w:left="85"/>
            </w:pPr>
            <w:r>
              <w:rPr>
                <w:rFonts w:ascii="Arial" w:hAnsi="Arial"/>
                <w:b/>
                <w:sz w:val="19"/>
              </w:rPr>
              <w:t>Renewable Energy</w:t>
            </w:r>
          </w:p>
        </w:tc>
        <w:tc>
          <w:tcPr>
            <w:tcW w:type="dxa" w:w="2551"/>
            <w:shd w:val="clear" w:color="auto" w:fill="F0F4FA"/>
            <w:tcBorders>
              <w:top w:val="single" w:sz="4" w:color="CCCCCC"/>
              <w:left w:val="single" w:sz="4" w:color="CCCCCC"/>
              <w:bottom w:val="single" w:sz="4" w:color="CCCCCC"/>
              <w:right w:val="single" w:sz="4" w:color="CCCCCC"/>
            </w:tcBorders>
          </w:tcPr>
          <w:p>
            <w:pPr>
              <w:spacing w:before="60" w:after="60"/>
              <w:ind w:left="85"/>
            </w:pPr>
            <w:r>
              <w:rPr>
                <w:rFonts w:ascii="Arial" w:hAnsi="Arial"/>
                <w:sz w:val="19"/>
              </w:rPr>
              <w:t>100% renewable electricity tariff</w:t>
            </w:r>
          </w:p>
        </w:tc>
        <w:tc>
          <w:tcPr>
            <w:tcW w:type="dxa" w:w="3402"/>
            <w:shd w:val="clear" w:color="auto" w:fill="F0F4FA"/>
            <w:tcBorders>
              <w:top w:val="single" w:sz="4" w:color="CCCCCC"/>
              <w:left w:val="single" w:sz="4" w:color="CCCCCC"/>
              <w:bottom w:val="single" w:sz="4" w:color="CCCCCC"/>
              <w:right w:val="single" w:sz="4" w:color="CCCCCC"/>
            </w:tcBorders>
          </w:tcPr>
          <w:p>
            <w:pPr>
              <w:spacing w:before="60" w:after="60"/>
              <w:ind w:left="85"/>
            </w:pPr>
            <w:r>
              <w:rPr>
                <w:rFonts w:ascii="Arial" w:hAnsi="Arial"/>
                <w:sz w:val="19"/>
              </w:rPr>
              <w:t>✅  Scope 2 market-based emissions = 0.00 tCO₂e. Verified annually via bills.</w:t>
            </w:r>
          </w:p>
        </w:tc>
      </w:tr>
    </w:tbl>
    <w:p/>
    <w:p>
      <w:pPr>
        <w:spacing w:before="120" w:after="120"/>
        <w:pBdr>
          <w:bottom w:val="single" w:sz="6" w:color="2F5496"/>
        </w:pBdr>
      </w:pPr>
    </w:p>
    <w:p>
      <w:pPr>
        <w:spacing w:before="120" w:after="80"/>
        <w:jc w:val="left"/>
      </w:pPr>
      <w:r>
        <w:rPr>
          <w:rFonts w:ascii="Arial" w:hAnsi="Arial"/>
          <w:b/>
          <w:i w:val="0"/>
          <w:color w:val="1F3864"/>
          <w:sz w:val="24"/>
        </w:rPr>
        <w:t>3.  Your Day-to-Day Environmental Responsibilities</w:t>
      </w:r>
    </w:p>
    <w:p>
      <w:pPr>
        <w:spacing w:before="0" w:after="120"/>
      </w:pPr>
      <w:r>
        <w:rPr>
          <w:rFonts w:ascii="Arial" w:hAnsi="Arial"/>
          <w:b w:val="0"/>
          <w:i w:val="0"/>
          <w:sz w:val="22"/>
        </w:rPr>
        <w:t>Every member of the team has a role to play. The following are the key things we ask everyone to do as part of their normal working day:</w:t>
      </w:r>
    </w:p>
    <w:p>
      <w:pPr>
        <w:pStyle w:val="ListBullet"/>
        <w:spacing w:before="0" w:after="100"/>
        <w:ind w:left="454"/>
      </w:pPr>
      <w:r>
        <w:rPr>
          <w:rFonts w:ascii="Arial" w:hAnsi="Arial"/>
          <w:b/>
          <w:sz w:val="22"/>
        </w:rPr>
        <w:t xml:space="preserve">Waste segregation: </w:t>
      </w:r>
      <w:r>
        <w:rPr>
          <w:rFonts w:ascii="Arial" w:hAnsi="Arial"/>
          <w:sz w:val="22"/>
        </w:rPr>
        <w:t>Please use the correct bins at all times — general waste, recycling (paper/card/plastic/metal/glass), and hazardous waste must be kept separate. Do not mix waste streams. Our recycling rate has already improved significantly and we want to keep pushing this forward.</w:t>
      </w:r>
    </w:p>
    <w:p>
      <w:pPr>
        <w:pStyle w:val="ListBullet"/>
        <w:spacing w:before="0" w:after="100"/>
        <w:ind w:left="454"/>
      </w:pPr>
      <w:r>
        <w:rPr>
          <w:rFonts w:ascii="Arial" w:hAnsi="Arial"/>
          <w:b/>
          <w:sz w:val="22"/>
        </w:rPr>
        <w:t xml:space="preserve">Incident and near-miss reporting: </w:t>
      </w:r>
      <w:r>
        <w:rPr>
          <w:rFonts w:ascii="Arial" w:hAnsi="Arial"/>
          <w:sz w:val="22"/>
        </w:rPr>
        <w:t>If you observe or cause a spill, leak, or any environmental incident — however small — please report it immediately to the Environmental Responsible Person (ERP). This includes oil or fluid spillages, refrigerant leaks, and any damage to containment equipment. Do not attempt to clean up a hazardous spill alone; use the spill kit and alert the ERP.</w:t>
      </w:r>
    </w:p>
    <w:p>
      <w:pPr>
        <w:pStyle w:val="ListBullet"/>
        <w:spacing w:before="0" w:after="100"/>
        <w:ind w:left="454"/>
      </w:pPr>
      <w:r>
        <w:rPr>
          <w:rFonts w:ascii="Arial" w:hAnsi="Arial"/>
          <w:b/>
          <w:sz w:val="22"/>
        </w:rPr>
        <w:t xml:space="preserve">Energy and water conservation: </w:t>
      </w:r>
      <w:r>
        <w:rPr>
          <w:rFonts w:ascii="Arial" w:hAnsi="Arial"/>
          <w:sz w:val="22"/>
        </w:rPr>
        <w:t>Turn off lights, equipment, and air conditioning when not in use. Report any dripping taps, leaking hoses, or equipment left running unnecessarily. These are small actions but they contribute directly to our reduction targets.</w:t>
      </w:r>
    </w:p>
    <w:p>
      <w:pPr>
        <w:pStyle w:val="ListBullet"/>
        <w:spacing w:before="0" w:after="100"/>
        <w:ind w:left="454"/>
      </w:pPr>
      <w:r>
        <w:rPr>
          <w:rFonts w:ascii="Arial" w:hAnsi="Arial"/>
          <w:b/>
          <w:sz w:val="22"/>
        </w:rPr>
        <w:t xml:space="preserve">Following EMS procedures: </w:t>
      </w:r>
      <w:r>
        <w:rPr>
          <w:rFonts w:ascii="Arial" w:hAnsi="Arial"/>
          <w:sz w:val="22"/>
        </w:rPr>
        <w:t>All relevant procedures are documented in our Environmental Management System. If you are unsure about the correct procedure for handling a material, disposing of waste, or responding to an incident, please refer to the EMS documentation or ask your line manager.</w:t>
      </w:r>
    </w:p>
    <w:p>
      <w:pPr>
        <w:pStyle w:val="ListBullet"/>
        <w:spacing w:before="0" w:after="100"/>
        <w:ind w:left="454"/>
      </w:pPr>
      <w:r>
        <w:rPr>
          <w:rFonts w:ascii="Arial" w:hAnsi="Arial"/>
          <w:b/>
          <w:sz w:val="22"/>
        </w:rPr>
        <w:t xml:space="preserve">Use of EVs and sustainable transport: </w:t>
      </w:r>
      <w:r>
        <w:rPr>
          <w:rFonts w:ascii="Arial" w:hAnsi="Arial"/>
          <w:sz w:val="22"/>
        </w:rPr>
        <w:t>Where business travel is required, please use the EV charging facilities on site and consider whether a trip is necessary. Consolidating journeys and using video calls where appropriate contributes to our transport and carbon reduction objectives.</w:t>
      </w:r>
    </w:p>
    <w:p>
      <w:pPr>
        <w:pStyle w:val="ListBullet"/>
        <w:spacing w:before="0" w:after="100"/>
        <w:ind w:left="454"/>
      </w:pPr>
      <w:r>
        <w:rPr>
          <w:rFonts w:ascii="Arial" w:hAnsi="Arial"/>
          <w:b/>
          <w:sz w:val="22"/>
        </w:rPr>
        <w:t xml:space="preserve">Contractor and supplier interactions: </w:t>
      </w:r>
      <w:r>
        <w:rPr>
          <w:rFonts w:ascii="Arial" w:hAnsi="Arial"/>
          <w:sz w:val="22"/>
        </w:rPr>
        <w:t>When working with external contractors or suppliers on site, please ensure they are made aware of our waste segregation requirements and emergency procedures.</w:t>
      </w:r>
    </w:p>
    <w:p>
      <w:pPr>
        <w:spacing w:before="120" w:after="120"/>
        <w:pBdr>
          <w:bottom w:val="single" w:sz="6" w:color="2F5496"/>
        </w:pBdr>
      </w:pPr>
    </w:p>
    <w:p>
      <w:pPr>
        <w:spacing w:before="120" w:after="80"/>
        <w:jc w:val="left"/>
      </w:pPr>
      <w:r>
        <w:rPr>
          <w:rFonts w:ascii="Arial" w:hAnsi="Arial"/>
          <w:b/>
          <w:i w:val="0"/>
          <w:color w:val="1F3864"/>
          <w:sz w:val="24"/>
        </w:rPr>
        <w:t>4.  Environmental Policy</w:t>
      </w:r>
    </w:p>
    <w:p>
      <w:pPr>
        <w:spacing w:before="0" w:after="160"/>
      </w:pPr>
      <w:r>
        <w:rPr>
          <w:rFonts w:ascii="Arial" w:hAnsi="Arial"/>
          <w:b w:val="0"/>
          <w:i w:val="0"/>
          <w:sz w:val="22"/>
        </w:rPr>
        <w:t>Our full Environmental Policy sets out our commitments, legal obligations, and the framework within which our EMS operates. All staff are expected to be familiar with its contents. You can access the current version here:</w:t>
      </w:r>
    </w:p>
    <w:tbl>
      <w:tblPr>
        <w:tblW w:type="auto" w:w="0"/>
        <w:jc w:val="left"/>
        <w:tblLook w:firstColumn="1" w:firstRow="1" w:lastColumn="0" w:lastRow="0" w:noHBand="0" w:noVBand="1" w:val="04A0"/>
      </w:tblPr>
      <w:tblGrid>
        <w:gridCol w:w="9026"/>
      </w:tblGrid>
      <w:tr>
        <w:tc>
          <w:tcPr>
            <w:tcW w:type="dxa" w:w="9071"/>
            <w:shd w:val="clear" w:color="auto" w:fill="FFF8E1"/>
            <w:tcBorders>
              <w:top w:val="single" w:sz="6" w:color="BF8F00"/>
              <w:left w:val="single" w:sz="6" w:color="BF8F00"/>
              <w:bottom w:val="single" w:sz="6" w:color="BF8F00"/>
              <w:right w:val="single" w:sz="6" w:color="BF8F00"/>
            </w:tcBorders>
          </w:tcPr>
          <w:p>
            <w:pPr>
              <w:spacing w:before="120" w:after="120"/>
              <w:ind w:left="170"/>
              <w:jc w:val="left"/>
            </w:pPr>
            <w:r>
              <w:rPr>
                <w:rFonts w:ascii="Arial" w:hAnsi="Arial"/>
                <w:b/>
                <w:sz w:val="20"/>
              </w:rPr>
              <w:t xml:space="preserve">Environmental Policy — </w:t>
            </w:r>
            <w:r>
              <w:rPr>
                <w:rFonts w:ascii="Arial" w:hAnsi="Arial"/>
                <w:color w:val="C05020"/>
                <w:sz w:val="20"/>
              </w:rPr>
              <w:t>[INSERT SHAREPOINT / TEAMS LINK HERE]</w:t>
            </w:r>
          </w:p>
        </w:tc>
      </w:tr>
    </w:tbl>
    <w:p/>
    <w:p>
      <w:pPr>
        <w:spacing w:before="120" w:after="120"/>
        <w:pBdr>
          <w:bottom w:val="single" w:sz="6" w:color="2F5496"/>
        </w:pBdr>
      </w:pPr>
    </w:p>
    <w:p>
      <w:pPr>
        <w:spacing w:before="120" w:after="120"/>
      </w:pPr>
      <w:r>
        <w:rPr>
          <w:rFonts w:ascii="Arial" w:hAnsi="Arial"/>
          <w:b w:val="0"/>
          <w:i w:val="0"/>
          <w:sz w:val="22"/>
        </w:rPr>
        <w:t>Thank you for your continued commitment to our environmental programme. The results we have achieved — zero landfill, improved recycling, and a market-based Scope 2 carbon footprint of zero — are a genuine reflection of the effort this team puts in. As we prepare for our FIA 3-Star audit, your continued engagement is what makes the difference.</w:t>
      </w:r>
    </w:p>
    <w:p>
      <w:pPr>
        <w:spacing w:before="160" w:after="80"/>
      </w:pPr>
      <w:r>
        <w:rPr>
          <w:rFonts w:ascii="Arial" w:hAnsi="Arial"/>
          <w:b w:val="0"/>
          <w:i w:val="0"/>
          <w:sz w:val="22"/>
        </w:rPr>
        <w:t>If you have any questions about our EMS, environmental objectives, or your responsibilities, please do not hesitate to get in touch.</w:t>
      </w:r>
    </w:p>
    <w:p>
      <w:pPr>
        <w:spacing w:before="320" w:after="40"/>
      </w:pPr>
      <w:r>
        <w:rPr>
          <w:rFonts w:ascii="Arial" w:hAnsi="Arial"/>
          <w:b w:val="0"/>
          <w:i w:val="0"/>
          <w:sz w:val="22"/>
        </w:rPr>
        <w:t>Kind regards,</w:t>
      </w:r>
    </w:p>
    <w:p>
      <w:pPr>
        <w:spacing w:before="240" w:after="40"/>
      </w:pPr>
      <w:r>
        <w:rPr>
          <w:rFonts w:ascii="Arial" w:hAnsi="Arial"/>
          <w:b/>
          <w:i w:val="0"/>
          <w:sz w:val="22"/>
        </w:rPr>
        <w:t>Tim Rocker</w:t>
      </w:r>
    </w:p>
    <w:p>
      <w:pPr>
        <w:spacing w:before="0" w:after="40"/>
      </w:pPr>
      <w:r>
        <w:rPr>
          <w:rFonts w:ascii="Arial" w:hAnsi="Arial"/>
          <w:b w:val="0"/>
          <w:i w:val="0"/>
          <w:sz w:val="22"/>
        </w:rPr>
        <w:t>Sustainability Manager</w:t>
      </w:r>
    </w:p>
    <w:p>
      <w:pPr>
        <w:spacing w:before="0" w:after="40"/>
      </w:pPr>
      <w:r>
        <w:rPr>
          <w:rFonts w:ascii="Arial" w:hAnsi="Arial"/>
          <w:b w:val="0"/>
          <w:i w:val="0"/>
          <w:sz w:val="22"/>
        </w:rPr>
        <w:t>Cadillac Hertz Team JOTA</w:t>
      </w:r>
    </w:p>
    <w:p>
      <w:pPr>
        <w:spacing w:before="0" w:after="320"/>
      </w:pPr>
      <w:r>
        <w:rPr>
          <w:rFonts w:ascii="Arial" w:hAnsi="Arial"/>
          <w:b w:val="0"/>
          <w:i w:val="0"/>
          <w:sz w:val="22"/>
        </w:rPr>
        <w:t>Bells Yew Green, Frant, Kent, TN3 9BT</w:t>
      </w:r>
    </w:p>
    <w:p>
      <w:pPr>
        <w:spacing w:before="120" w:after="120"/>
        <w:pBdr>
          <w:bottom w:val="single" w:sz="4" w:color="AAAAAA"/>
        </w:pBdr>
      </w:pPr>
    </w:p>
    <w:p>
      <w:pPr>
        <w:spacing w:before="80" w:after="0"/>
      </w:pPr>
      <w:r>
        <w:rPr>
          <w:rFonts w:ascii="Arial" w:hAnsi="Arial"/>
          <w:b w:val="0"/>
          <w:i/>
          <w:color w:val="595959"/>
          <w:sz w:val="17"/>
        </w:rPr>
        <w:t>Audit evidence note: A copy of this sent email (with distribution list and timestamp) should be retained in the Audit Evidence folder. This communication closes OFIs raised by FIA auditor Sergio Cerquetti (December 2024) and the November 2025 audit regarding environmental awareness training and communication of significant aspects.</w:t>
      </w:r>
    </w:p>
    <w:sectPr w:rsidR="00FC693F" w:rsidRPr="0006063C" w:rsidSect="0003461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